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143D02E8" w:rsidR="00C32E34" w:rsidRPr="009D1F3B" w:rsidRDefault="00D651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UNK</w:t>
            </w:r>
          </w:p>
        </w:tc>
        <w:tc>
          <w:tcPr>
            <w:tcW w:w="4449" w:type="dxa"/>
          </w:tcPr>
          <w:p w14:paraId="0BC73C5D" w14:textId="680B707C" w:rsidR="00F518FB" w:rsidRPr="0025340C" w:rsidRDefault="00F518FB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Información desconocida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36F91B7F" w:rsidR="00C32E34" w:rsidRDefault="0076762F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65D97">
              <w:rPr>
                <w:lang w:val="en-US"/>
              </w:rPr>
              <w:t>CBC</w:t>
            </w:r>
          </w:p>
        </w:tc>
        <w:tc>
          <w:tcPr>
            <w:tcW w:w="4449" w:type="dxa"/>
          </w:tcPr>
          <w:p w14:paraId="1479DEB3" w14:textId="143A16A5" w:rsidR="00C32E34" w:rsidRPr="0025340C" w:rsidRDefault="0076762F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Hemograma completo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1B9A77FF" w:rsidR="00C32E34" w:rsidRDefault="0076762F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65D97">
              <w:rPr>
                <w:lang w:val="en-US"/>
              </w:rPr>
              <w:t>CMP</w:t>
            </w:r>
          </w:p>
        </w:tc>
        <w:tc>
          <w:tcPr>
            <w:tcW w:w="4449" w:type="dxa"/>
          </w:tcPr>
          <w:p w14:paraId="39141B9D" w14:textId="594AD9C2" w:rsidR="00C32E34" w:rsidRPr="0025340C" w:rsidRDefault="0076762F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Análisis bioquímico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4CEA3B06" w:rsidR="00C32E34" w:rsidRDefault="0025340C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BID</w:t>
            </w:r>
          </w:p>
        </w:tc>
        <w:tc>
          <w:tcPr>
            <w:tcW w:w="4449" w:type="dxa"/>
          </w:tcPr>
          <w:p w14:paraId="09A4F8BB" w14:textId="15104946" w:rsidR="00C32E34" w:rsidRPr="0025340C" w:rsidRDefault="0025340C" w:rsidP="009657B8">
            <w:pPr>
              <w:rPr>
                <w:rFonts w:cstheme="minorHAnsi"/>
                <w:color w:val="000000" w:themeColor="text1"/>
              </w:rPr>
            </w:pPr>
            <w:r w:rsidRPr="0025340C">
              <w:rPr>
                <w:rFonts w:cstheme="minorHAnsi"/>
                <w:color w:val="000000" w:themeColor="text1"/>
              </w:rPr>
              <w:t>Dos veces al día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eGrid"/>
        <w:tblW w:w="8730" w:type="dxa"/>
        <w:tblInd w:w="-95" w:type="dxa"/>
        <w:tblLook w:val="04A0" w:firstRow="1" w:lastRow="0" w:firstColumn="1" w:lastColumn="0" w:noHBand="0" w:noVBand="1"/>
      </w:tblPr>
      <w:tblGrid>
        <w:gridCol w:w="4343"/>
        <w:gridCol w:w="4387"/>
      </w:tblGrid>
      <w:tr w:rsidR="00472318" w:rsidRPr="00B832E6" w14:paraId="450D9B13" w14:textId="77777777" w:rsidTr="00D435CF">
        <w:tc>
          <w:tcPr>
            <w:tcW w:w="4343" w:type="dxa"/>
          </w:tcPr>
          <w:p w14:paraId="0C3C082F" w14:textId="75963AF1" w:rsidR="00472318" w:rsidRPr="003D28E7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3D28E7"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387" w:type="dxa"/>
          </w:tcPr>
          <w:p w14:paraId="7612A9EB" w14:textId="3C59534D" w:rsidR="00472318" w:rsidRPr="003D28E7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D28E7">
              <w:rPr>
                <w:rFonts w:cstheme="minorHAnsi"/>
                <w:b/>
                <w:bCs/>
                <w:color w:val="000000" w:themeColor="text1"/>
              </w:rPr>
              <w:t>Target</w:t>
            </w:r>
          </w:p>
        </w:tc>
      </w:tr>
      <w:tr w:rsidR="00472318" w14:paraId="1D0BC489" w14:textId="77777777" w:rsidTr="00D435CF">
        <w:tc>
          <w:tcPr>
            <w:tcW w:w="4343" w:type="dxa"/>
          </w:tcPr>
          <w:p w14:paraId="1E8C2B11" w14:textId="77777777" w:rsidR="00D435CF" w:rsidRPr="003D28E7" w:rsidRDefault="00D435CF" w:rsidP="00D435CF">
            <w:pPr>
              <w:rPr>
                <w:b/>
                <w:u w:val="single"/>
                <w:lang w:val="en-US"/>
              </w:rPr>
            </w:pPr>
          </w:p>
          <w:p w14:paraId="025CE9AC" w14:textId="77777777" w:rsidR="00D435CF" w:rsidRPr="003D28E7" w:rsidRDefault="00D435CF" w:rsidP="00D435CF">
            <w:pPr>
              <w:rPr>
                <w:b/>
                <w:u w:val="single"/>
                <w:lang w:val="en-US"/>
              </w:rPr>
            </w:pPr>
            <w:r w:rsidRPr="003D28E7">
              <w:rPr>
                <w:b/>
                <w:u w:val="single"/>
                <w:lang w:val="en-US"/>
              </w:rPr>
              <w:t>CHRONIC MYELOGENOUS LEUKEMIA</w:t>
            </w:r>
          </w:p>
          <w:p w14:paraId="417D0B54" w14:textId="605E5846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 xml:space="preserve">A report has been received from a Study Investigator concerning a </w:t>
            </w:r>
            <w:r w:rsidR="0025340C" w:rsidRPr="003D28E7">
              <w:rPr>
                <w:lang w:val="en-US"/>
              </w:rPr>
              <w:t>68-year-old</w:t>
            </w:r>
            <w:r w:rsidRPr="003D28E7">
              <w:rPr>
                <w:lang w:val="en-US"/>
              </w:rPr>
              <w:t xml:space="preserve"> Caucasian, Male subject, Height: 69.0 Inches; Weight: 196.0 Pounds, enrolled in study H8O-MC-GWDQ; A Randomized, Placebo Controlled Trial to Evaluate Cardiovascular Outcomes After Treatment with Exenatide Once Weekly in Patients with Type 2 Diabetes Mellitus.</w:t>
            </w:r>
          </w:p>
          <w:p w14:paraId="752876EC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>The patient's medical history included percutaneous coronary intervention and alcohol use.</w:t>
            </w:r>
          </w:p>
          <w:p w14:paraId="2C6731AC" w14:textId="726570D5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lastRenderedPageBreak/>
              <w:t>The patient's concurrent diseases included diabetic neuropathy, coronary artery stenosis, hyperlipidemia, dyslipidemia, non-smoker and type 2 diabetes mellitus.</w:t>
            </w:r>
          </w:p>
          <w:p w14:paraId="38A69CA2" w14:textId="77777777" w:rsidR="00D435CF" w:rsidRPr="003D28E7" w:rsidRDefault="00D435CF" w:rsidP="00D435CF">
            <w:pPr>
              <w:rPr>
                <w:lang w:val="en-US"/>
              </w:rPr>
            </w:pPr>
          </w:p>
          <w:p w14:paraId="0DE969BB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b/>
                <w:u w:val="single"/>
                <w:lang w:val="en-US"/>
              </w:rPr>
              <w:t>CONCOMITANT DRUGS</w:t>
            </w:r>
            <w:r w:rsidRPr="003D28E7">
              <w:rPr>
                <w:lang w:val="en-US"/>
              </w:rPr>
              <w:t>:</w:t>
            </w:r>
          </w:p>
          <w:p w14:paraId="4E89E108" w14:textId="420BE661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>1. GLYBURIDE(GLIBENCLAMIDE): Dates: SEP-2013 continuing - Duration: UNK</w:t>
            </w:r>
            <w:r w:rsidR="00D30D6F" w:rsidRPr="003D28E7">
              <w:rPr>
                <w:lang w:val="en-US"/>
              </w:rPr>
              <w:t xml:space="preserve"> -</w:t>
            </w:r>
            <w:r w:rsidRPr="003D28E7">
              <w:rPr>
                <w:lang w:val="en-US"/>
              </w:rPr>
              <w:t xml:space="preserve"> Dose: 10 mg DAILY - Route: Oral</w:t>
            </w:r>
          </w:p>
          <w:p w14:paraId="1A8ACF4B" w14:textId="3A59EA28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 xml:space="preserve">2. (METFORMIN HCL): Dates: 10-JUL-2012 continuing Duration: UNK - Dose: 1000 mg BID - Route: Oral </w:t>
            </w:r>
          </w:p>
          <w:p w14:paraId="2678CEAF" w14:textId="77777777" w:rsidR="00D435CF" w:rsidRPr="003D28E7" w:rsidRDefault="00D435CF" w:rsidP="00D435CF">
            <w:pPr>
              <w:rPr>
                <w:lang w:val="en-US"/>
              </w:rPr>
            </w:pPr>
          </w:p>
          <w:p w14:paraId="5A3F2C7D" w14:textId="77777777" w:rsidR="00D435CF" w:rsidRPr="003D28E7" w:rsidRDefault="00D435CF" w:rsidP="00D435CF">
            <w:pPr>
              <w:rPr>
                <w:b/>
                <w:u w:val="single"/>
                <w:lang w:val="en-US"/>
              </w:rPr>
            </w:pPr>
            <w:r w:rsidRPr="003D28E7">
              <w:rPr>
                <w:b/>
                <w:u w:val="single"/>
                <w:lang w:val="en-US"/>
              </w:rPr>
              <w:t>History:</w:t>
            </w:r>
          </w:p>
          <w:p w14:paraId="449A92BF" w14:textId="6EEFD7D2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>Percutaneous coronary intervention; alcohol use.</w:t>
            </w:r>
          </w:p>
          <w:p w14:paraId="023791B2" w14:textId="77777777" w:rsidR="00D435CF" w:rsidRPr="003D28E7" w:rsidRDefault="00D435CF" w:rsidP="00D435CF">
            <w:pPr>
              <w:rPr>
                <w:lang w:val="en-US"/>
              </w:rPr>
            </w:pPr>
          </w:p>
          <w:p w14:paraId="78FC9355" w14:textId="77777777" w:rsidR="00D435CF" w:rsidRPr="003D28E7" w:rsidRDefault="00D435CF" w:rsidP="00D435CF">
            <w:pPr>
              <w:rPr>
                <w:b/>
                <w:u w:val="single"/>
                <w:lang w:val="en-US"/>
              </w:rPr>
            </w:pPr>
            <w:r w:rsidRPr="003D28E7">
              <w:rPr>
                <w:b/>
                <w:u w:val="single"/>
                <w:lang w:val="en-US"/>
              </w:rPr>
              <w:t>DESCRIBE REACTION(S) (including relevant tests/lab data)</w:t>
            </w:r>
          </w:p>
          <w:p w14:paraId="0CAD1DF1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 xml:space="preserve">Concomitant medications included </w:t>
            </w:r>
            <w:proofErr w:type="spellStart"/>
            <w:r w:rsidRPr="003D28E7">
              <w:rPr>
                <w:lang w:val="en-US"/>
              </w:rPr>
              <w:t>glibenclamide</w:t>
            </w:r>
            <w:proofErr w:type="spellEnd"/>
            <w:r w:rsidRPr="003D28E7">
              <w:rPr>
                <w:lang w:val="en-US"/>
              </w:rPr>
              <w:t xml:space="preserve"> and metformin </w:t>
            </w:r>
            <w:proofErr w:type="spellStart"/>
            <w:r w:rsidRPr="003D28E7">
              <w:rPr>
                <w:lang w:val="en-US"/>
              </w:rPr>
              <w:t>hcl</w:t>
            </w:r>
            <w:proofErr w:type="spellEnd"/>
            <w:r w:rsidRPr="003D28E7">
              <w:rPr>
                <w:lang w:val="en-US"/>
              </w:rPr>
              <w:t xml:space="preserve"> for type 2 diabetes mellitus, acetylsalicylic acid for cardiac prevention, losartan for hypertension, ergocalciferol for osteoporosis prevention, insulin glargine for diabetes mellitus and tadalafil for erectile dysfunction.</w:t>
            </w:r>
          </w:p>
          <w:p w14:paraId="686255FA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 xml:space="preserve">The patient experienced severe chronic myelogenous leukemia (Preferred Term: Chronic myeloid leukemia) which started on 05-Nov-2014. The Subject has been following up with Oncologist. Patient showed presence of significant leukocytosis on routine CBC 22-Oct-2014. The patient underwent bone marrow aspiration 05-Nov-2014 that showed results consistent with clinical diagnoses of Chronic Myeloid Leukemia (CML). Patient started on </w:t>
            </w:r>
            <w:proofErr w:type="spellStart"/>
            <w:r w:rsidRPr="003D28E7">
              <w:rPr>
                <w:lang w:val="en-US"/>
              </w:rPr>
              <w:t>Sprycel</w:t>
            </w:r>
            <w:proofErr w:type="spellEnd"/>
            <w:r w:rsidRPr="003D28E7">
              <w:rPr>
                <w:lang w:val="en-US"/>
              </w:rPr>
              <w:t xml:space="preserve"> 100mg and also given allopurinol 300 mg for 21 days during initial phase of treatment. The CBC, CMP and uric acid weekly checked.</w:t>
            </w:r>
          </w:p>
          <w:p w14:paraId="1F895733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>Study product therapy was discontinued.</w:t>
            </w:r>
          </w:p>
          <w:p w14:paraId="72E31145" w14:textId="77777777" w:rsidR="00D435CF" w:rsidRPr="003D28E7" w:rsidRDefault="00D435CF" w:rsidP="00D435CF">
            <w:pPr>
              <w:rPr>
                <w:lang w:val="en-US"/>
              </w:rPr>
            </w:pPr>
            <w:r w:rsidRPr="003D28E7">
              <w:rPr>
                <w:lang w:val="en-US"/>
              </w:rPr>
              <w:t xml:space="preserve">The Patient was started on ferrous sulfate. With regard to his diabetes, patient was currently taking Lantus along with Humalog to cover his lunch with 6-8 units plus an additional 4 units with dinner to avoid severe hyperglycemia. Patient had visit with </w:t>
            </w:r>
            <w:r w:rsidRPr="003D28E7">
              <w:rPr>
                <w:lang w:val="en-US"/>
              </w:rPr>
              <w:lastRenderedPageBreak/>
              <w:t>oncologist 16-Jan-2015. Ferrous Sulfate increased to BID.</w:t>
            </w:r>
          </w:p>
          <w:p w14:paraId="42CB34BB" w14:textId="77777777" w:rsidR="00472318" w:rsidRPr="003D28E7" w:rsidRDefault="00472318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8E57C3" w14:textId="77777777" w:rsidR="00ED2F8F" w:rsidRPr="003D28E7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8B2D47C" w:rsidR="00ED2F8F" w:rsidRPr="003D28E7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387" w:type="dxa"/>
          </w:tcPr>
          <w:p w14:paraId="5A6867DD" w14:textId="77777777" w:rsidR="00D435CF" w:rsidRPr="003D28E7" w:rsidRDefault="00D435CF" w:rsidP="00D435CF">
            <w:pPr>
              <w:rPr>
                <w:b/>
                <w:u w:val="single"/>
              </w:rPr>
            </w:pPr>
          </w:p>
          <w:p w14:paraId="6280977F" w14:textId="0D56EA55" w:rsidR="00D435CF" w:rsidRPr="003D28E7" w:rsidRDefault="00D435CF" w:rsidP="00D435CF">
            <w:pPr>
              <w:rPr>
                <w:b/>
                <w:u w:val="single"/>
              </w:rPr>
            </w:pPr>
            <w:r w:rsidRPr="003D28E7">
              <w:rPr>
                <w:b/>
                <w:u w:val="single"/>
              </w:rPr>
              <w:t>LEUCEMIA MIELÓGENA CRÓNICA</w:t>
            </w:r>
          </w:p>
          <w:p w14:paraId="7A40C836" w14:textId="77777777" w:rsidR="00D435CF" w:rsidRPr="003D28E7" w:rsidRDefault="00D435CF" w:rsidP="00D435CF">
            <w:r w:rsidRPr="003D28E7">
              <w:t>Hemos recibido por parte de un investigador el informe de un estudio acerca de un paciente caucásico de 68 años, de sexo masculino, estatura: 1.75 m, peso: 76.66 kg, inscrito en el estudio de tipo H8O-MC-GWDQ; se realizó un ensayo aleatorizado, controlado con placebo para evaluar los resultados cardiovasculares luego de haber aplicado una dosis de exenatida una vez a la semana a los pacientes con diabetes mellitus tipo II.</w:t>
            </w:r>
          </w:p>
          <w:p w14:paraId="224DC118" w14:textId="07A1EF67" w:rsidR="00D435CF" w:rsidRPr="003D28E7" w:rsidRDefault="00D435CF" w:rsidP="00D435CF">
            <w:r w:rsidRPr="003D28E7">
              <w:t>Por medio de la historia clínica del paciente</w:t>
            </w:r>
            <w:r w:rsidR="00F34944" w:rsidRPr="003D28E7">
              <w:t>,</w:t>
            </w:r>
            <w:r w:rsidRPr="003D28E7">
              <w:t xml:space="preserve"> se pudo observar que el paciente consumía </w:t>
            </w:r>
            <w:r w:rsidRPr="003D28E7">
              <w:lastRenderedPageBreak/>
              <w:t>alcohol y fue sometido a una intervención coronaria percutánea.</w:t>
            </w:r>
          </w:p>
          <w:p w14:paraId="1BF58AC4" w14:textId="1971C825" w:rsidR="00D435CF" w:rsidRPr="003D28E7" w:rsidRDefault="00D435CF" w:rsidP="00D435CF">
            <w:r w:rsidRPr="003D28E7">
              <w:t>Las enfermedades concurrentes del paciente</w:t>
            </w:r>
            <w:r w:rsidR="00F34944" w:rsidRPr="003D28E7">
              <w:t xml:space="preserve"> </w:t>
            </w:r>
            <w:r w:rsidR="00B6651B" w:rsidRPr="003D28E7">
              <w:t>comprendían la</w:t>
            </w:r>
            <w:r w:rsidRPr="003D28E7">
              <w:t xml:space="preserve"> neuropatía diabética, </w:t>
            </w:r>
            <w:r w:rsidR="00B6651B" w:rsidRPr="003D28E7">
              <w:t xml:space="preserve">la </w:t>
            </w:r>
            <w:r w:rsidRPr="003D28E7">
              <w:t xml:space="preserve">estenosis de la arteria coronaria, </w:t>
            </w:r>
            <w:r w:rsidR="00B6651B" w:rsidRPr="003D28E7">
              <w:t xml:space="preserve">la </w:t>
            </w:r>
            <w:proofErr w:type="spellStart"/>
            <w:r w:rsidRPr="003D28E7">
              <w:t>hiperlipidosis</w:t>
            </w:r>
            <w:proofErr w:type="spellEnd"/>
            <w:r w:rsidRPr="003D28E7">
              <w:t xml:space="preserve"> y</w:t>
            </w:r>
            <w:r w:rsidR="00B6651B" w:rsidRPr="003D28E7">
              <w:t xml:space="preserve"> la d</w:t>
            </w:r>
            <w:r w:rsidRPr="003D28E7">
              <w:t>iabetes mellitus tipo II.</w:t>
            </w:r>
          </w:p>
          <w:p w14:paraId="56896033" w14:textId="77777777" w:rsidR="00D435CF" w:rsidRPr="003D28E7" w:rsidRDefault="00D435CF" w:rsidP="00D435CF"/>
          <w:p w14:paraId="35D93AE6" w14:textId="77777777" w:rsidR="00D435CF" w:rsidRPr="003D28E7" w:rsidRDefault="00D435CF" w:rsidP="00D435CF">
            <w:pPr>
              <w:rPr>
                <w:b/>
                <w:u w:val="single"/>
              </w:rPr>
            </w:pPr>
            <w:r w:rsidRPr="003D28E7">
              <w:rPr>
                <w:b/>
                <w:u w:val="single"/>
              </w:rPr>
              <w:t>MEDICAMENTOS CONCOMITANTES:</w:t>
            </w:r>
          </w:p>
          <w:p w14:paraId="69B55E26" w14:textId="77777777" w:rsidR="00D435CF" w:rsidRPr="003D28E7" w:rsidRDefault="00D435CF" w:rsidP="00D435CF">
            <w:r w:rsidRPr="003D28E7">
              <w:t>1. GLIBURIDA (GLIBENCLAMIDA): Fechas: SEP-2013 a la actualidad - Duración: ID (Información desconocida) - Dosis: 10 mg diaria - Vía de administración: Oral</w:t>
            </w:r>
          </w:p>
          <w:p w14:paraId="6DE9B46A" w14:textId="039DD45D" w:rsidR="00D435CF" w:rsidRPr="003D28E7" w:rsidRDefault="00D435CF" w:rsidP="00D435CF">
            <w:r w:rsidRPr="003D28E7">
              <w:t>2. METFORMINA HCl: Fechas: 10-JUL-2012 a la actualidad - Duración: ID - Dosis: 1000 mg dos veces al día - Vía de administración: Oral</w:t>
            </w:r>
          </w:p>
          <w:p w14:paraId="58E89D85" w14:textId="77777777" w:rsidR="00D435CF" w:rsidRPr="003D28E7" w:rsidRDefault="00D435CF" w:rsidP="00D435CF"/>
          <w:p w14:paraId="39BB33D4" w14:textId="77777777" w:rsidR="00D435CF" w:rsidRPr="003D28E7" w:rsidRDefault="00D435CF" w:rsidP="00D435CF">
            <w:pPr>
              <w:rPr>
                <w:b/>
                <w:u w:val="single"/>
              </w:rPr>
            </w:pPr>
            <w:r w:rsidRPr="003D28E7">
              <w:rPr>
                <w:b/>
                <w:u w:val="single"/>
              </w:rPr>
              <w:t>Antecedentes:</w:t>
            </w:r>
          </w:p>
          <w:p w14:paraId="5DC02674" w14:textId="28DD1DA0" w:rsidR="00D435CF" w:rsidRPr="003D28E7" w:rsidRDefault="00D435CF" w:rsidP="00D435CF">
            <w:r w:rsidRPr="003D28E7">
              <w:t>Intervención coronaria percutánea; consumo de alcohol.</w:t>
            </w:r>
          </w:p>
          <w:p w14:paraId="45C6534D" w14:textId="77777777" w:rsidR="00D435CF" w:rsidRPr="003D28E7" w:rsidRDefault="00D435CF" w:rsidP="00D435CF"/>
          <w:p w14:paraId="2F901332" w14:textId="77777777" w:rsidR="00D435CF" w:rsidRPr="003D28E7" w:rsidRDefault="00D435CF" w:rsidP="00D435CF">
            <w:pPr>
              <w:rPr>
                <w:b/>
                <w:u w:val="single"/>
              </w:rPr>
            </w:pPr>
            <w:r w:rsidRPr="003D28E7">
              <w:rPr>
                <w:b/>
                <w:u w:val="single"/>
              </w:rPr>
              <w:t>REGISTRO DE DATOS (incluyendo análisis relevantes/información de laboratorio)</w:t>
            </w:r>
          </w:p>
          <w:p w14:paraId="453D43F3" w14:textId="77777777" w:rsidR="00D435CF" w:rsidRPr="003D28E7" w:rsidRDefault="00D435CF" w:rsidP="00D435CF">
            <w:r w:rsidRPr="003D28E7">
              <w:t xml:space="preserve">Los medicamentos concomitantes administrados son la glibenclamida y la metformina HCl para la diabetes mellitus tipo II, el ácido acetilsalicílico para la prevención de insuficiencia cardíaca, el </w:t>
            </w:r>
            <w:proofErr w:type="spellStart"/>
            <w:r w:rsidRPr="003D28E7">
              <w:t>losartán</w:t>
            </w:r>
            <w:proofErr w:type="spellEnd"/>
            <w:r w:rsidRPr="003D28E7">
              <w:t xml:space="preserve"> para la hipertensión, el </w:t>
            </w:r>
            <w:proofErr w:type="spellStart"/>
            <w:r w:rsidRPr="003D28E7">
              <w:t>ergocalciferol</w:t>
            </w:r>
            <w:proofErr w:type="spellEnd"/>
            <w:r w:rsidRPr="003D28E7">
              <w:t xml:space="preserve"> para la prevención de la osteoporosis, la insulina glargina para la diabetes mellitus, y el tadalafilo para la disfunción eréctil. </w:t>
            </w:r>
          </w:p>
          <w:p w14:paraId="5A649280" w14:textId="6A6B9A74" w:rsidR="00D435CF" w:rsidRPr="003D28E7" w:rsidRDefault="00D435CF" w:rsidP="00D435CF">
            <w:r w:rsidRPr="003D28E7">
              <w:t xml:space="preserve">El paciente padeció de leucemia mieloide crónica, cuyo comienzo se registró el día 05-Nov-2014. El seguimiento del sujeto fue realizado por un oncólogo. Se observaron niveles significantes de leucocitos en el hemograma del paciente realizado el día 22-Oct-2014. El paciente fue sometido a una aspiración de la médula ósea el día 05-Nov-2014, los resultados obtenidos de este procedimiento fueron compatibles con aquellos de los diagnósticos clínicos de la Leucemia mielógena crónica (LMC). Se le suministró 100 mg de </w:t>
            </w:r>
            <w:proofErr w:type="spellStart"/>
            <w:r w:rsidRPr="003D28E7">
              <w:t>Sprycel</w:t>
            </w:r>
            <w:proofErr w:type="spellEnd"/>
            <w:r w:rsidRPr="003D28E7">
              <w:t xml:space="preserve"> y 300 mg de Alopurinol por el término de 20 días durante la fase inicial del tratamiento. Se realizaron semanalmente los siguientes análisis</w:t>
            </w:r>
            <w:r w:rsidR="00C924D2" w:rsidRPr="003D28E7">
              <w:t xml:space="preserve"> al </w:t>
            </w:r>
            <w:r w:rsidR="00C924D2" w:rsidRPr="003D28E7">
              <w:lastRenderedPageBreak/>
              <w:t>paciente</w:t>
            </w:r>
            <w:r w:rsidRPr="003D28E7">
              <w:t xml:space="preserve">, hemograma completo, análisis bioquímico y de ácido úrico. </w:t>
            </w:r>
          </w:p>
          <w:p w14:paraId="5F550E71" w14:textId="77777777" w:rsidR="00D435CF" w:rsidRPr="003D28E7" w:rsidRDefault="00D435CF" w:rsidP="00D435CF">
            <w:r w:rsidRPr="003D28E7">
              <w:t>La terapia con medicamentos fue interrumpida.</w:t>
            </w:r>
          </w:p>
          <w:p w14:paraId="5D17EC00" w14:textId="77777777" w:rsidR="00D435CF" w:rsidRPr="003D28E7" w:rsidRDefault="00D435CF" w:rsidP="00D435CF">
            <w:r w:rsidRPr="003D28E7">
              <w:t xml:space="preserve">Al comienzo del estudio, se le suministró al paciente sulfato ferroso. En lo que respecta a la diabetes, el paciente estaba tomando de 6 a 8 comprimidos de Lantus y </w:t>
            </w:r>
            <w:proofErr w:type="spellStart"/>
            <w:r w:rsidRPr="003D28E7">
              <w:t>Humalog</w:t>
            </w:r>
            <w:proofErr w:type="spellEnd"/>
            <w:r w:rsidRPr="003D28E7">
              <w:t xml:space="preserve"> durante el almuerzo, y además 4 comprimidos durante la cena para evitar la hiperglicemia severa. El paciente realizó una visita al oncólogo el día 16-Ene-2015. La dosis de sulfato ferroso aumentó a dos veces por día.</w:t>
            </w:r>
          </w:p>
          <w:p w14:paraId="6F3D484E" w14:textId="4F730F33" w:rsidR="00472318" w:rsidRPr="003D28E7" w:rsidRDefault="00472318" w:rsidP="00B41EB5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346ABF" w:rsidRPr="002169F4" w14:paraId="00ACE384" w14:textId="77777777" w:rsidTr="009657B8">
        <w:trPr>
          <w:cantSplit/>
          <w:jc w:val="center"/>
        </w:trPr>
        <w:tc>
          <w:tcPr>
            <w:tcW w:w="3024" w:type="dxa"/>
          </w:tcPr>
          <w:p w14:paraId="7047D34C" w14:textId="47892E3F" w:rsidR="00346ABF" w:rsidRPr="00D62F4C" w:rsidRDefault="00346ABF" w:rsidP="009657B8">
            <w:pPr>
              <w:pStyle w:val="Table-Body"/>
              <w:rPr>
                <w:lang w:val="en-US"/>
              </w:rPr>
            </w:pPr>
            <w:r w:rsidRPr="00D62F4C">
              <w:rPr>
                <w:lang w:val="en-US"/>
              </w:rPr>
              <w:t>[…]</w:t>
            </w:r>
            <w:r w:rsidRPr="00D62F4C">
              <w:rPr>
                <w:lang w:val="en-US"/>
              </w:rPr>
              <w:t>Height: 69.0 Inches; Weight: 196.0 Pounds[…]</w:t>
            </w:r>
          </w:p>
        </w:tc>
        <w:tc>
          <w:tcPr>
            <w:tcW w:w="3024" w:type="dxa"/>
          </w:tcPr>
          <w:p w14:paraId="0E8205CB" w14:textId="05029015" w:rsidR="00346ABF" w:rsidRPr="00D62F4C" w:rsidRDefault="00346ABF" w:rsidP="009657B8">
            <w:pPr>
              <w:pStyle w:val="Table-Body"/>
              <w:rPr>
                <w:lang w:val="en-US"/>
              </w:rPr>
            </w:pPr>
            <w:r w:rsidRPr="00D62F4C">
              <w:rPr>
                <w:lang w:val="en-US"/>
              </w:rPr>
              <w:t>[…]estatura: 1.75 m, peso: 76.66 kg[…]</w:t>
            </w:r>
          </w:p>
        </w:tc>
        <w:tc>
          <w:tcPr>
            <w:tcW w:w="3024" w:type="dxa"/>
          </w:tcPr>
          <w:p w14:paraId="2D2507E7" w14:textId="52F89FDA" w:rsidR="00346ABF" w:rsidRPr="00D62F4C" w:rsidRDefault="00857187" w:rsidP="009657B8">
            <w:pPr>
              <w:pStyle w:val="Table-Body"/>
              <w:rPr>
                <w:noProof w:val="0"/>
                <w:lang w:val="en-US"/>
              </w:rPr>
            </w:pPr>
            <w:r w:rsidRPr="00D62F4C">
              <w:rPr>
                <w:noProof w:val="0"/>
                <w:lang w:val="en-US"/>
              </w:rPr>
              <w:t>Can we modify and translate the units, or do we have to translate them?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0090CD4A" w:rsidR="00C32E34" w:rsidRPr="00D62F4C" w:rsidRDefault="00C924D2" w:rsidP="009657B8">
            <w:pPr>
              <w:pStyle w:val="Table-Body"/>
              <w:rPr>
                <w:noProof w:val="0"/>
                <w:lang w:val="en-US"/>
              </w:rPr>
            </w:pPr>
            <w:r w:rsidRPr="00D62F4C">
              <w:rPr>
                <w:lang w:val="en-US"/>
              </w:rPr>
              <w:t>The CBC, CMP and uric acid weekly checked.</w:t>
            </w:r>
          </w:p>
        </w:tc>
        <w:tc>
          <w:tcPr>
            <w:tcW w:w="3024" w:type="dxa"/>
          </w:tcPr>
          <w:p w14:paraId="7CBA6972" w14:textId="52FE0245" w:rsidR="00C32E34" w:rsidRPr="00D62F4C" w:rsidRDefault="00C924D2" w:rsidP="009657B8">
            <w:pPr>
              <w:pStyle w:val="Table-Body"/>
              <w:rPr>
                <w:noProof w:val="0"/>
                <w:lang w:val="en-US"/>
              </w:rPr>
            </w:pPr>
            <w:r w:rsidRPr="00D62F4C">
              <w:rPr>
                <w:lang w:val="en-US"/>
              </w:rPr>
              <w:t>Se realizaron semanalmente los siguientes análisis al paciente, hemograma completo, análisis bioquímico y de ácido úrico.</w:t>
            </w:r>
          </w:p>
        </w:tc>
        <w:tc>
          <w:tcPr>
            <w:tcW w:w="3024" w:type="dxa"/>
          </w:tcPr>
          <w:p w14:paraId="166C29FC" w14:textId="0AFB2A28" w:rsidR="00C32E34" w:rsidRPr="00D62F4C" w:rsidRDefault="006912E8" w:rsidP="009657B8">
            <w:pPr>
              <w:pStyle w:val="Table-Body"/>
              <w:rPr>
                <w:noProof w:val="0"/>
                <w:lang w:val="en-US"/>
              </w:rPr>
            </w:pPr>
            <w:r w:rsidRPr="00D62F4C">
              <w:rPr>
                <w:noProof w:val="0"/>
                <w:lang w:val="en-US"/>
              </w:rPr>
              <w:t xml:space="preserve">Can we translate acronyms (CBC and CMP) by 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writ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ing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 the full name</w:t>
            </w:r>
            <w:r w:rsidR="00857187"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,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 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or </w:t>
            </w:r>
            <w:r w:rsidR="00857187"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do 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we have to include the spanish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 abbreviation 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between</w:t>
            </w:r>
            <w:r w:rsidRPr="00D62F4C">
              <w:rPr>
                <w:rFonts w:cs="Arial"/>
                <w:color w:val="202124"/>
                <w:shd w:val="clear" w:color="auto" w:fill="FFFFFF"/>
                <w:lang w:val="en-US"/>
              </w:rPr>
              <w:t xml:space="preserve"> brackets</w:t>
            </w:r>
            <w:r w:rsidR="00857187" w:rsidRPr="00D62F4C">
              <w:rPr>
                <w:rFonts w:cs="Arial"/>
                <w:color w:val="202124"/>
                <w:shd w:val="clear" w:color="auto" w:fill="FFFFFF"/>
                <w:lang w:val="en-US"/>
              </w:rPr>
              <w:t>?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lastRenderedPageBreak/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5BF95B20" w:rsidR="00C32E34" w:rsidRPr="002169F4" w:rsidRDefault="00571CC2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Idea Translations</w:t>
            </w:r>
            <w:r w:rsidR="003B45AD">
              <w:rPr>
                <w:noProof w:val="0"/>
                <w:lang w:val="en-US"/>
              </w:rPr>
              <w:t xml:space="preserve"> project</w:t>
            </w:r>
            <w:r w:rsidR="00C0086A">
              <w:rPr>
                <w:noProof w:val="0"/>
                <w:lang w:val="en-US"/>
              </w:rPr>
              <w:t xml:space="preserve"> – Clinical Trial - </w:t>
            </w:r>
            <w:r w:rsidR="00C0086A" w:rsidRPr="00C0086A">
              <w:rPr>
                <w:noProof w:val="0"/>
                <w:lang w:val="en-US"/>
              </w:rPr>
              <w:t>CHRONIC MYELOGENOUS LEUKEMIA</w:t>
            </w:r>
          </w:p>
        </w:tc>
        <w:tc>
          <w:tcPr>
            <w:tcW w:w="4547" w:type="dxa"/>
          </w:tcPr>
          <w:p w14:paraId="7C07549B" w14:textId="66FBC0B3" w:rsidR="00C32E34" w:rsidRPr="002169F4" w:rsidRDefault="003B45AD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7DE6D" w14:textId="77777777" w:rsidR="00747CBE" w:rsidRDefault="00747CBE">
      <w:pPr>
        <w:spacing w:after="0" w:line="240" w:lineRule="auto"/>
      </w:pPr>
      <w:r>
        <w:separator/>
      </w:r>
    </w:p>
  </w:endnote>
  <w:endnote w:type="continuationSeparator" w:id="0">
    <w:p w14:paraId="4F6194B5" w14:textId="77777777" w:rsidR="00747CBE" w:rsidRDefault="0074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Footer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8AC1E" w14:textId="77777777" w:rsidR="00747CBE" w:rsidRDefault="00747CBE">
      <w:pPr>
        <w:spacing w:after="0" w:line="240" w:lineRule="auto"/>
      </w:pPr>
      <w:r>
        <w:separator/>
      </w:r>
    </w:p>
  </w:footnote>
  <w:footnote w:type="continuationSeparator" w:id="0">
    <w:p w14:paraId="13D8C4C9" w14:textId="77777777" w:rsidR="00747CBE" w:rsidRDefault="0074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9177" w14:textId="57A6F0BC" w:rsidR="00742B7C" w:rsidRDefault="00982732" w:rsidP="00785076">
    <w:pPr>
      <w:pStyle w:val="Header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Header"/>
      <w:jc w:val="right"/>
    </w:pPr>
  </w:p>
  <w:p w14:paraId="577DD1A1" w14:textId="77777777" w:rsidR="00982732" w:rsidRDefault="00982732" w:rsidP="00742B7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Heading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Heading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Heading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Heading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Heading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Heading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Heading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Heading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Heading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167F1"/>
    <w:rsid w:val="001D5956"/>
    <w:rsid w:val="00222AEE"/>
    <w:rsid w:val="0025340C"/>
    <w:rsid w:val="0029735B"/>
    <w:rsid w:val="002B46B3"/>
    <w:rsid w:val="00346ABF"/>
    <w:rsid w:val="003B45AD"/>
    <w:rsid w:val="003B4DE8"/>
    <w:rsid w:val="003D28E7"/>
    <w:rsid w:val="0044291F"/>
    <w:rsid w:val="00472318"/>
    <w:rsid w:val="004936AB"/>
    <w:rsid w:val="00502332"/>
    <w:rsid w:val="00571CC2"/>
    <w:rsid w:val="00594C8B"/>
    <w:rsid w:val="005C4A8E"/>
    <w:rsid w:val="006912E8"/>
    <w:rsid w:val="006B63B5"/>
    <w:rsid w:val="00717925"/>
    <w:rsid w:val="00747CBE"/>
    <w:rsid w:val="0076762F"/>
    <w:rsid w:val="00785076"/>
    <w:rsid w:val="00814892"/>
    <w:rsid w:val="00817C43"/>
    <w:rsid w:val="0083356E"/>
    <w:rsid w:val="00857187"/>
    <w:rsid w:val="008F22C8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B6651B"/>
    <w:rsid w:val="00B92973"/>
    <w:rsid w:val="00BA1735"/>
    <w:rsid w:val="00BA77C8"/>
    <w:rsid w:val="00C0086A"/>
    <w:rsid w:val="00C32E34"/>
    <w:rsid w:val="00C43D38"/>
    <w:rsid w:val="00C549DA"/>
    <w:rsid w:val="00C924D2"/>
    <w:rsid w:val="00CA3D37"/>
    <w:rsid w:val="00CE7801"/>
    <w:rsid w:val="00D30D6F"/>
    <w:rsid w:val="00D435CF"/>
    <w:rsid w:val="00D62F4C"/>
    <w:rsid w:val="00D6517E"/>
    <w:rsid w:val="00E21E4E"/>
    <w:rsid w:val="00E23080"/>
    <w:rsid w:val="00E50F91"/>
    <w:rsid w:val="00ED2F8F"/>
    <w:rsid w:val="00F34944"/>
    <w:rsid w:val="00F5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Heading1">
    <w:name w:val="heading 1"/>
    <w:next w:val="Paragraph"/>
    <w:link w:val="Heading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Heading2">
    <w:name w:val="heading 2"/>
    <w:next w:val="Paragraph"/>
    <w:link w:val="Heading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Heading3">
    <w:name w:val="heading 3"/>
    <w:next w:val="Paragraph"/>
    <w:link w:val="Heading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Heading4">
    <w:name w:val="heading 4"/>
    <w:next w:val="Paragraph"/>
    <w:link w:val="Heading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Heading5">
    <w:name w:val="heading 5"/>
    <w:next w:val="Paragraph"/>
    <w:link w:val="Heading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6">
    <w:name w:val="heading 6"/>
    <w:next w:val="Paragraph"/>
    <w:link w:val="Heading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7">
    <w:name w:val="heading 7"/>
    <w:next w:val="Paragraph"/>
    <w:link w:val="Heading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8">
    <w:name w:val="heading 8"/>
    <w:next w:val="Paragraph"/>
    <w:link w:val="Heading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9">
    <w:name w:val="heading 9"/>
    <w:next w:val="Paragraph"/>
    <w:link w:val="Heading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7C8"/>
  </w:style>
  <w:style w:type="paragraph" w:styleId="Footer">
    <w:name w:val="footer"/>
    <w:basedOn w:val="Normal"/>
    <w:link w:val="Foot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7C8"/>
  </w:style>
  <w:style w:type="character" w:customStyle="1" w:styleId="Heading1Char">
    <w:name w:val="Heading 1 Char"/>
    <w:basedOn w:val="DefaultParagraphFont"/>
    <w:link w:val="Heading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1104</Words>
  <Characters>6294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Aylu_SSD</cp:lastModifiedBy>
  <cp:revision>20</cp:revision>
  <dcterms:created xsi:type="dcterms:W3CDTF">2021-03-17T14:57:00Z</dcterms:created>
  <dcterms:modified xsi:type="dcterms:W3CDTF">2021-03-23T20:38:00Z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